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Ann Zadeh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/Relationships>
</file>