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>Cary Moon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Fin 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111 West Monroe Suite 602 Phoenix,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44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/Relationships>
</file>